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spacing w:before="0" w:after="0" w:lineRule="auto" w:line="240"/>
        <w:jc w:val="left"/>
      </w:pPr>
      <w:r>
        <w:rPr>
          <w:rFonts w:ascii="Times New Roman" w:hAnsi="Times New Roman" w:cs="Times New Roman" w:eastAsia="Times New Roman"/>
          <w:b w:val="false"/>
          <w:i w:val="false"/>
          <w:sz w:val="24"/>
        </w:rPr>
        <w:t>Экземпляр №  ______</w:t>
        <w:cr/>
      </w:r>
    </w:p>
    <w:p>
      <w:pPr>
        <w:spacing w:before="0" w:after="0" w:lineRule="auto" w:line="240"/>
        <w:jc w:val="center"/>
      </w:pPr>
      <w:r>
        <w:rPr>
          <w:rFonts w:ascii="Times New Roman" w:hAnsi="Times New Roman" w:cs="Times New Roman" w:eastAsia="Times New Roman"/>
          <w:b w:val="true"/>
          <w:i w:val="false"/>
          <w:sz w:val="28"/>
        </w:rPr>
        <w:t>Выборы депутатов Государственной Думы Федерального Собрания Российской Федерации девятого созыва</w:t>
      </w:r>
    </w:p>
    <w:p>
      <w:pPr>
        <w:spacing w:before="0" w:after="0" w:lineRule="auto" w:line="240"/>
        <w:jc w:val="center"/>
      </w:pPr>
      <w:r>
        <w:rPr>
          <w:rFonts w:ascii="Times New Roman" w:hAnsi="Times New Roman" w:cs="Times New Roman" w:eastAsia="Times New Roman"/>
          <w:b w:val="true"/>
          <w:i w:val="false"/>
          <w:sz w:val="28"/>
        </w:rPr>
        <w:t>20 сентября 2026 года</w:t>
        <w:cr/>
      </w:r>
    </w:p>
    <w:p>
      <w:pPr>
        <w:spacing w:before="0" w:after="0" w:lineRule="auto" w:line="240"/>
        <w:jc w:val="center"/>
      </w:pPr>
      <w:r>
        <w:rPr>
          <w:rFonts w:ascii="Times New Roman" w:hAnsi="Times New Roman" w:cs="Times New Roman" w:eastAsia="Times New Roman"/>
          <w:b w:val="true"/>
          <w:i w:val="false"/>
          <w:sz w:val="32"/>
        </w:rPr>
        <w:t>ПРОТОКОЛ № 2</w:t>
      </w:r>
    </w:p>
    <w:p>
      <w:pPr>
        <w:spacing w:before="0" w:after="0" w:lineRule="auto" w:line="240"/>
        <w:jc w:val="center"/>
      </w:pPr>
      <w:r>
        <w:rPr>
          <w:rFonts w:ascii="Times New Roman" w:hAnsi="Times New Roman" w:cs="Times New Roman" w:eastAsia="Times New Roman"/>
          <w:b w:val="true"/>
          <w:i w:val="false"/>
          <w:sz w:val="28"/>
        </w:rPr>
        <w:t>территориальной избирательной комиссии</w:t>
        <w:br/>
        <w:t>об итогах голосования по федеральному избирательному округу</w:t>
        <w:br/>
        <w:t>на территории Тверская область, городской округ город Тверь, Московский район</w:t>
        <w:cr/>
      </w:r>
    </w:p>
    <w:tbl>
      <w:tblPr>
        <w:tblW w:w="5000" w:type="pct"/>
        <w:jc w:val="center"/>
      </w:tblPr>
      <w:tr>
        <w:trPr>
          <w:cantSplit/>
        </w:trPr>
        <w:tc>
          <w:tcPr>
            <w:tcW w:w="8900" w:type="dxa"/>
            <w:vAlign w:val="bottom"/>
          </w:tcPr>
          <w:p>
            <w:pPr>
              <w:spacing w:before="120" w:after="0" w:lineRule="auto" w:line="24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участковых избирательных комиссий на соответствующей территории</w:t>
            </w:r>
          </w:p>
        </w:tc>
        <w:tc>
          <w:tcPr>
            <w:tcW w:w="200" w:type="dxa"/>
          </w:tcPr>
          <w:p>
            <w:pPr>
              <w:spacing w:before="0" w:after="0" w:lineRule="auto" w:line="240"/>
              <w:jc w:val="left"/>
            </w:pPr>
          </w:p>
        </w:tc>
        <w:tc>
          <w:tcPr>
            <w:tcW w:w="1100" w:type="dxa"/>
            <w:vAlign w:val="bottom"/>
          </w:tcPr>
          <w:p>
            <w:pPr>
              <w:spacing w:before="120" w:after="0" w:lineRule="auto"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59</w:t>
            </w:r>
          </w:p>
        </w:tc>
      </w:tr>
      <w:tr>
        <w:trPr>
          <w:cantSplit/>
        </w:trPr>
        <w:tc>
          <w:tcPr>
            <w:tcW w:w="8900" w:type="dxa"/>
            <w:vAlign w:val="bottom"/>
          </w:tcPr>
          <w:p>
            <w:pPr>
              <w:spacing w:before="120" w:after="0" w:lineRule="auto" w:line="24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поступивших протоколов № 2 участковых избирательных комиссий об итогах голосования, на основании которых составлен протокол № 2 территориальной избирательной комиссии об итогах голосования</w:t>
            </w:r>
          </w:p>
        </w:tc>
        <w:tc>
          <w:tcPr>
            <w:tcW w:w="200" w:type="dxa"/>
          </w:tcPr>
          <w:p>
            <w:pPr>
              <w:spacing w:before="0" w:after="0" w:lineRule="auto" w:line="240"/>
            </w:pPr>
          </w:p>
        </w:tc>
        <w:tc>
          <w:tcPr>
            <w:tcW w:w="1100" w:type="dxa"/>
            <w:vAlign w:val="bottom"/>
          </w:tcPr>
          <w:p>
            <w:pPr>
              <w:spacing w:before="120" w:after="0" w:lineRule="auto"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59</w:t>
            </w:r>
          </w:p>
        </w:tc>
      </w:tr>
      <w:tr>
        <w:trPr>
          <w:cantSplit/>
        </w:trPr>
        <w:tc>
          <w:tcPr>
            <w:tcW w:w="8900" w:type="dxa"/>
            <w:vAlign w:val="bottom"/>
          </w:tcPr>
          <w:p>
            <w:pPr>
              <w:spacing w:before="120" w:after="0" w:lineRule="auto" w:line="24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избирательных участков, итоги голосования по которым были признаны недействительными</w:t>
            </w:r>
          </w:p>
        </w:tc>
        <w:tc>
          <w:tcPr>
            <w:tcW w:w="200" w:type="dxa"/>
          </w:tcPr>
          <w:p>
            <w:pPr>
              <w:spacing w:before="0" w:after="0" w:lineRule="auto" w:line="240"/>
            </w:pPr>
          </w:p>
        </w:tc>
        <w:tc>
          <w:tcPr>
            <w:tcW w:w="1100" w:type="dxa"/>
            <w:vAlign w:val="bottom"/>
          </w:tcPr>
          <w:p>
            <w:pPr>
              <w:spacing w:before="120" w:after="0" w:lineRule="auto"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0</w:t>
            </w:r>
          </w:p>
        </w:tc>
      </w:tr>
      <w:tr>
        <w:trPr>
          <w:cantSplit/>
        </w:trPr>
        <w:tc>
          <w:tcPr>
            <w:tcW w:w="8900" w:type="dxa"/>
            <w:vAlign w:val="bottom"/>
          </w:tcPr>
          <w:p>
            <w:pPr>
              <w:spacing w:before="120" w:after="0" w:lineRule="auto" w:line="24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Суммарное число избирателей, включенных в списки избирателей по избирательным участкам, итоги голосования по которым были признаны недействительными, на момент окончания голосования</w:t>
            </w:r>
          </w:p>
        </w:tc>
        <w:tc>
          <w:tcPr>
            <w:tcW w:w="200" w:type="dxa"/>
          </w:tcPr>
          <w:p>
            <w:pPr>
              <w:spacing w:before="0" w:after="0" w:lineRule="auto" w:line="240"/>
            </w:pPr>
          </w:p>
        </w:tc>
        <w:tc>
          <w:tcPr>
            <w:tcW w:w="1100" w:type="dxa"/>
            <w:vAlign w:val="bottom"/>
          </w:tcPr>
          <w:p>
            <w:pPr>
              <w:spacing w:before="120" w:after="0" w:lineRule="auto" w:line="240"/>
              <w:jc w:val="righ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0</w:t>
            </w:r>
          </w:p>
        </w:tc>
      </w:tr>
    </w:tbl>
    <w:p>
      <w:pPr>
        <w:spacing w:before="0" w:after="0" w:lineRule="auto" w:line="240"/>
        <w:jc w:val="left"/>
      </w:pPr>
      <w:r>
        <w:rPr>
          <w:rFonts w:ascii="Times New Roman" w:hAnsi="Times New Roman" w:cs="Times New Roman" w:eastAsia="Times New Roman"/>
          <w:b w:val="false"/>
          <w:i w:val="false"/>
          <w:sz w:val="28"/>
        </w:rPr>
        <w:t xml:space="preserve"> </w:t>
      </w:r>
    </w:p>
    <w:tbl>
      <w:tblPr>
        <w:tblW w:w="5000" w:type="pct"/>
        <w:jc w:val="center"/>
      </w:tblPr>
      <w:tr>
        <w:trPr>
          <w:cantSplit/>
        </w:trPr>
        <w:tc>
          <w:tcPr>
            <w:tcW w:w="10200" w:type="dxa"/>
          </w:tcPr>
          <w:p>
            <w:pPr>
              <w:spacing w:before="0" w:after="0" w:lineRule="auto" w:line="24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br/>
              <w:t xml:space="preserve">          После предварительной проверки правильности составления протоколов № 2 участковых избирательных комиссий об итогах голосования территориальная избирательная комиссия путем суммирования данных, содержащихся в указанных протоколах участковых избирательных комиссий,  у с т а н о в и л а :</w:t>
            </w:r>
          </w:p>
        </w:tc>
      </w:tr>
    </w:tbl>
    <w:p>
      <w:pPr>
        <w:spacing w:before="0" w:after="0" w:lineRule="auto" w:line="240"/>
        <w:jc w:val="left"/>
      </w:pPr>
      <w:r>
        <w:rPr>
          <w:rFonts w:ascii="Times New Roman" w:hAnsi="Times New Roman" w:cs="Times New Roman" w:eastAsia="Times New Roman"/>
          <w:b w:val="false"/>
          <w:i w:val="false"/>
          <w:sz w:val="28"/>
        </w:rPr>
        <w:t xml:space="preserve"> </w:t>
      </w:r>
    </w:p>
    <w:tbl>
      <w:tblPr>
        <w:tblW w:w="5000" w:type="pct"/>
        <w:jc w:val="center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избирателей, внесенных в списки избирателей на момент окончания голосования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9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9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3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4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2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избирательных бюллетеней, полученных участковыми избирательными комиссиями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8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2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2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3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избирательных бюллетеней, выданных избирателям, проголосовавшим досрочно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4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избирательных бюллетеней, выданных участковыми избирательными комиссиями избирателям в помещениях для голосования в день голосования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3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7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6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4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5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избирательных бюллетеней, выданных избирателям, проголосовавшим вне помещений для голосования в день голосования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7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9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9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6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погашенных избирательных бюллетеней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4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3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6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6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2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7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избирательных бюллетеней, содержащихся в переносных ящиках для голосования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7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9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7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8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избирательных бюллетеней, содержащихся в стационарных ящиках для голосования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3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7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5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2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8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9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недействительных избирательных бюллетеней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8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7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5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10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действительных избирательных бюллетеней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3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7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4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5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11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утраченных избирательных бюллетеней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12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избирательных бюллетеней, не учтенных при получении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</w:tr>
    </w:tbl>
    <w:p>
      <w:pPr>
        <w:spacing w:before="0" w:after="0" w:lineRule="exact" w:line="14"/>
        <w:jc w:val="left"/>
      </w:pPr>
      <w:r>
        <w:rPr>
          <w:rFonts w:ascii="Times New Roman" w:hAnsi="Times New Roman" w:cs="Times New Roman" w:eastAsia="Times New Roman"/>
          <w:b w:val="false"/>
          <w:i w:val="false"/>
          <w:sz w:val="4"/>
        </w:rPr>
        <w:t xml:space="preserve"> </w:t>
      </w:r>
    </w:p>
    <w:tbl>
      <w:tblPr>
        <w:tblW w:w="5000" w:type="pct"/>
        <w:jc w:val="center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r>
        <w:trPr>
          <w:cantSplit/>
        </w:trPr>
        <w:tc>
          <w:tcPr>
            <w:tcW w:w="680" w:type="dxa"/>
            <w:hMerge w:val="restart"/>
            <w:vAlign w:val="center"/>
          </w:tcPr>
          <w:p>
            <w:pPr>
              <w:keepNext w:val="on"/>
              <w:spacing w:before="0" w:after="0" w:lineRule="auto" w:line="240"/>
              <w:jc w:val="center"/>
            </w:pPr>
            <w:pPr>
              <w:keepLines w:val="on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0"/>
              </w:rPr>
              <w:t>Наименования политических партий, зарегистрировавших федеральные списки кандидатов</w:t>
            </w:r>
          </w:p>
        </w:tc>
        <w:tc>
          <w:tcPr>
            <w:tcW w:w="7725" w:type="dxa"/>
            <w:hMerge w:val="continue"/>
          </w:tcPr>
          <w:p>
            <w:pPr>
              <w:keepNext w:val="on"/>
              <w:keepLines w:val="on"/>
            </w:pPr>
          </w:p>
        </w:tc>
        <w:tc>
          <w:tcPr>
            <w:tcW w:w="300" w:type="dxa"/>
            <w:hMerge w:val="restart"/>
            <w:vAlign w:val="center"/>
          </w:tcPr>
          <w:p>
            <w:pPr>
              <w:keepNext w:val="on"/>
              <w:spacing w:before="0" w:after="0" w:lineRule="auto" w:line="240"/>
              <w:jc w:val="center"/>
            </w:pPr>
            <w:pPr>
              <w:keepLines w:val="on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0"/>
              </w:rPr>
              <w:t>Число голосов избирателей, поданных за каждый федеральный список кандидатов</w:t>
            </w:r>
          </w:p>
        </w:tc>
        <w:tc>
          <w:tcPr>
            <w:tcW w:w="300" w:type="dxa"/>
            <w:hMerge w:val="continue"/>
            <w:vAlign w:val="center"/>
          </w:tcPr>
          <w:p>
            <w:pPr>
              <w:keepNext w:val="on"/>
              <w:keepLines w:val="on"/>
            </w:pPr>
          </w:p>
        </w:tc>
        <w:tc>
          <w:tcPr>
            <w:tcW w:w="300" w:type="dxa"/>
            <w:hMerge w:val="continue"/>
            <w:vAlign w:val="center"/>
          </w:tcPr>
          <w:p>
            <w:pPr>
              <w:keepNext w:val="on"/>
              <w:keepLines w:val="on"/>
            </w:pPr>
          </w:p>
        </w:tc>
        <w:tc>
          <w:tcPr>
            <w:tcW w:w="300" w:type="dxa"/>
            <w:hMerge w:val="continue"/>
            <w:vAlign w:val="center"/>
          </w:tcPr>
          <w:p>
            <w:pPr>
              <w:keepNext w:val="on"/>
              <w:keepLines w:val="on"/>
            </w:pPr>
          </w:p>
        </w:tc>
        <w:tc>
          <w:tcPr>
            <w:tcW w:w="300" w:type="dxa"/>
            <w:hMerge w:val="continue"/>
            <w:vAlign w:val="center"/>
          </w:tcPr>
          <w:p>
            <w:pPr>
              <w:keepNext w:val="on"/>
              <w:keepLines w:val="on"/>
            </w:pPr>
          </w:p>
        </w:tc>
        <w:tc>
          <w:tcPr>
            <w:tcW w:w="300" w:type="dxa"/>
            <w:hMerge w:val="continue"/>
            <w:vAlign w:val="center"/>
          </w:tcPr>
          <w:p>
            <w:pPr>
              <w:keepNext w:val="on"/>
              <w:keepLines w:val="on"/>
            </w:pP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13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1. Всероссийская политическая партия "ЕДИНАЯ РОССИЯ"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4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2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9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14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3. Политическая партия ЛДПР – Либерально-демократическая партия России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4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6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6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2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15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4. Политическая партия "Партия прямой демократии"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8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16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5. Политическая партия "Российская экологическая партия "ЗЕЛЁНЫЕ"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5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6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17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6. Социалистическая политическая партия СПРАВЕДЛИВАЯ РОССИЯ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9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8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2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18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7. ВСЕРОССИЙСКАЯ ПОЛИТИЧЕСКАЯ ПАРТИЯ "РОДИНА"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4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6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4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19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8. КПРФ - политическая партия КОММУНИСТИЧЕСКАЯ ПАРТИЯ РОССИЙСКОЙ ФЕДЕРАЦИИ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7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5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6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20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9. ПАРТИЯ ПЕНСИОНЕРОВ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4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6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21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10. Политическая партия КОММУНИСТИЧЕСКАЯ ПАРТИЯ КОММУНИСТЫ РОССИИ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3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3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6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22</w:t>
            </w:r>
          </w:p>
        </w:tc>
        <w:tc>
          <w:tcPr>
            <w:tcW w:w="77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11. Политическая партия "НОВЫЕ ЛЮДИ"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6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7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7</w:t>
            </w:r>
          </w:p>
        </w:tc>
      </w:tr>
    </w:tbl>
    <w:p>
      <w:pPr>
        <w:spacing w:before="0" w:after="0" w:lineRule="auto" w:line="240"/>
        <w:jc w:val="left"/>
      </w:pPr>
      <w:r>
        <w:rPr>
          <w:rFonts w:ascii="Times New Roman" w:hAnsi="Times New Roman" w:cs="Times New Roman" w:eastAsia="Times New Roman"/>
          <w:b w:val="false"/>
          <w:i w:val="false"/>
          <w:sz w:val="24"/>
        </w:rPr>
        <w:t xml:space="preserve"> </w:t>
      </w:r>
    </w:p>
    <w:p/>
    <w:tbl>
      <w:tblPr>
        <w:tblW w:w="5000" w:type="pct"/>
        <w:jc w:val="center"/>
      </w:tblP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  <w:t>Председатель территориальной избирательной комиссии</w:t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0" w:after="0" w:lineRule="auto" w:line="240"/>
              <w:ind w:left="10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Тимофеева Я. С.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  <w:jc w:val="left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  <w:jc w:val="left"/>
            </w:pPr>
          </w:p>
        </w:tc>
      </w:tr>
      <w:tr>
        <w:trPr>
          <w:cantSplit/>
        </w:trPr>
        <w:tc>
          <w:tcPr>
            <w:tcW w:w="2725" w:type="dxa"/>
            <w:vAlign w:val="top"/>
          </w:tcPr>
          <w:p>
            <w:pPr>
              <w:spacing w:before="0" w:after="0" w:lineRule="auto" w:line="240"/>
            </w:pPr>
          </w:p>
        </w:tc>
        <w:tc>
          <w:tcPr>
            <w:tcW w:w="2835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16"/>
              </w:rPr>
              <w:t>(фамилия, инициалы)</w:t>
            </w:r>
          </w:p>
        </w:tc>
        <w:tc>
          <w:tcPr>
            <w:tcW w:w="283" w:type="dxa"/>
            <w:vAlign w:val="top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16"/>
              </w:rPr>
              <w:t>(подпись либо причина отсутствия, отметка</w:t>
              <w:br/>
              <w:t>об особом мнении)</w:t>
            </w: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  <w:t>Заместитель председателя комиссии</w:t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Силич Г. А.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  <w:t>Секретарь комиссии</w:t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Экилик Ю. В.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  <w:t>Члены комиссии</w:t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Багренцев А. О.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Громова Н. Г.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Жирков С. А.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Жирнова М. Г.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Камушкина Л. П.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Кузнецова Е. А.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Махновец А. С.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Поснов В. В.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Саркисян Р. В.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Серова Т. Н.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Чуковин Г. Г.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полномочия приостановлены</w:t>
            </w:r>
          </w:p>
        </w:tc>
      </w:tr>
    </w:tbl>
    <w:p/>
    <w:p>
      <w:pPr>
        <w:spacing w:before="0" w:after="0" w:lineRule="auto" w:line="240"/>
        <w:jc w:val="center"/>
      </w:pPr>
      <w:r>
        <w:rPr>
          <w:rFonts w:ascii="Times New Roman" w:hAnsi="Times New Roman" w:cs="Times New Roman" w:eastAsia="Times New Roman"/>
          <w:b w:val="true"/>
          <w:i w:val="false"/>
          <w:sz w:val="24"/>
        </w:rPr>
        <w:t xml:space="preserve">          МП          Протокол подписан "____" _____________ 20____ года в ____ часов ____ минут</w:t>
      </w:r>
    </w:p>
    <w:sectPr>
      <w:pgSz w:w="11905" w:h="16837"/>
      <w:pgMar w:left="850" w:top="453" w:right="850" w:bottom="453"/>
    </w:sectPr>
  </w:body>
</w:document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>
  <w:docDefaults>
    <w:rPrDefault>
      <w:rPr>
        <w:rFonts w:eastAsia="Times New Roman" w:hAnsi="Times New Roman"/>
      </w:rPr>
    </w:rPrDefault>
    <w:pPrDefault>
      <w:pPr/>
    </w:pPrDefault>
  </w:docDefaults>
</w:styles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2026-09-21T06:09:23Z</dcterms:created>
  <dc:creator>Apache POI</dc:creator>
</cp:coreProperties>
</file>